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jc w:val="center"/>
      </w:pPr>
      <w:r>
        <w:rPr>
          <w:rFonts w:ascii="標楷體" w:hAnsi="標楷體"/>
          <w:sz w:val="20"/>
          <w:szCs w:val="20"/>
          <w:rtl w:val="0"/>
          <w:lang w:val="zh-TW" w:eastAsia="zh-TW"/>
        </w:rPr>
        <w:t xml:space="preserve">  </w:t>
      </w:r>
      <w:r>
        <w:rPr>
          <w:rtl w:val="0"/>
          <w:lang w:val="en-US"/>
        </w:rPr>
        <w:t>106</w:t>
      </w:r>
      <w:r>
        <w:rPr>
          <w:rFonts w:eastAsia="DFLiHei-Bd" w:hint="eastAsia"/>
          <w:rtl w:val="0"/>
          <w:lang w:val="zh-TW" w:eastAsia="zh-TW"/>
        </w:rPr>
        <w:t>學年度國立臺北大學公共事務學院學士班修習</w:t>
      </w:r>
    </w:p>
    <w:p>
      <w:pPr>
        <w:pStyle w:val="註釋標題"/>
        <w:spacing w:line="20" w:lineRule="atLeast"/>
      </w:pPr>
      <w:r>
        <w:rPr>
          <w:rFonts w:eastAsia="DFLiHei-Bd" w:hint="eastAsia"/>
          <w:sz w:val="24"/>
          <w:szCs w:val="24"/>
          <w:rtl w:val="0"/>
          <w:lang w:val="zh-TW" w:eastAsia="zh-TW"/>
        </w:rPr>
        <w:t>財政學系</w:t>
      </w:r>
      <w:r>
        <w:rPr>
          <w:rFonts w:eastAsia="DFLiHei-Bd" w:hint="eastAsia"/>
          <w:sz w:val="24"/>
          <w:szCs w:val="24"/>
          <w:rtl w:val="0"/>
          <w:lang w:val="zh-TW" w:eastAsia="zh-TW"/>
        </w:rPr>
        <w:t>學士班輔系</w:t>
      </w:r>
      <w:r>
        <w:rPr>
          <w:rFonts w:eastAsia="DFLiHei-Bd" w:hint="eastAsia"/>
          <w:sz w:val="24"/>
          <w:szCs w:val="24"/>
          <w:rtl w:val="0"/>
          <w:lang w:val="zh-TW" w:eastAsia="zh-TW"/>
        </w:rPr>
        <w:t>專業科目規劃表</w:t>
      </w:r>
    </w:p>
    <w:tbl>
      <w:tblPr>
        <w:tblW w:w="992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"/>
        <w:gridCol w:w="567"/>
        <w:gridCol w:w="2268"/>
        <w:gridCol w:w="567"/>
        <w:gridCol w:w="851"/>
        <w:gridCol w:w="851"/>
        <w:gridCol w:w="851"/>
        <w:gridCol w:w="1418"/>
        <w:gridCol w:w="567"/>
        <w:gridCol w:w="1418"/>
      </w:tblGrid>
      <w:tr>
        <w:tblPrEx>
          <w:shd w:val="clear" w:color="auto" w:fill="ced7e7"/>
        </w:tblPrEx>
        <w:trPr>
          <w:trHeight w:val="2055" w:hRule="atLeast"/>
        </w:trPr>
        <w:tc>
          <w:tcPr>
            <w:tcW w:type="dxa" w:w="567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領域或學群別</w:t>
            </w:r>
          </w:p>
        </w:tc>
        <w:tc>
          <w:tcPr>
            <w:tcW w:type="dxa" w:w="567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  <w:rPr>
                <w:rFonts w:ascii="標楷體" w:cs="標楷體" w:hAnsi="標楷體"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必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修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或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選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修</w:t>
            </w:r>
          </w:p>
        </w:tc>
        <w:tc>
          <w:tcPr>
            <w:tcW w:type="dxa" w:w="226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pacing w:val="20"/>
                <w:sz w:val="40"/>
                <w:szCs w:val="40"/>
                <w:rtl w:val="0"/>
                <w:lang w:val="zh-TW" w:eastAsia="zh-TW"/>
              </w:rPr>
              <w:t>科目名稱</w:t>
            </w:r>
          </w:p>
        </w:tc>
        <w:tc>
          <w:tcPr>
            <w:tcW w:type="dxa" w:w="567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學分合計</w:t>
            </w:r>
          </w:p>
        </w:tc>
        <w:tc>
          <w:tcPr>
            <w:tcW w:type="dxa" w:w="851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課程類別</w:t>
            </w:r>
            <w:r>
              <w:rPr>
                <w:rFonts w:ascii="標楷體" w:hAnsi="標楷體"/>
                <w:sz w:val="28"/>
                <w:szCs w:val="28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全年或半年</w:t>
            </w:r>
            <w:r>
              <w:rPr>
                <w:rFonts w:ascii="標楷體" w:hAnsi="標楷體"/>
                <w:sz w:val="28"/>
                <w:szCs w:val="28"/>
                <w:rtl w:val="0"/>
                <w:lang w:val="en-US"/>
              </w:rPr>
              <w:t>)</w:t>
            </w:r>
          </w:p>
        </w:tc>
        <w:tc>
          <w:tcPr>
            <w:tcW w:type="dxa" w:w="851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建議修習年級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開課系所</w:t>
            </w:r>
          </w:p>
        </w:tc>
        <w:tc>
          <w:tcPr>
            <w:tcW w:type="dxa" w:w="141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  <w:rPr>
                <w:rFonts w:ascii="標楷體" w:cs="標楷體" w:hAnsi="標楷體"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先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修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科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目</w:t>
            </w:r>
          </w:p>
        </w:tc>
        <w:tc>
          <w:tcPr>
            <w:tcW w:type="dxa" w:w="567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開課屬性</w:t>
            </w:r>
          </w:p>
        </w:tc>
        <w:tc>
          <w:tcPr>
            <w:tcW w:type="dxa" w:w="141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區塊文字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科目修訂原因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)</w:t>
            </w:r>
          </w:p>
          <w:p>
            <w:pPr>
              <w:pStyle w:val="區塊文字"/>
              <w:bidi w:val="0"/>
              <w:ind w:left="113" w:right="113" w:firstLine="0"/>
              <w:jc w:val="center"/>
              <w:rPr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本欄請填註</w:t>
            </w:r>
          </w:p>
          <w:p>
            <w:pPr>
              <w:pStyle w:val="內文 A"/>
              <w:bidi w:val="0"/>
              <w:ind w:left="113" w:right="113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備　　　註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基</w:t>
            </w:r>
          </w:p>
        </w:tc>
        <w:tc>
          <w:tcPr>
            <w:tcW w:type="dxa" w:w="56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必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Public Finance I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8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礎</w:t>
            </w:r>
          </w:p>
        </w:tc>
        <w:tc>
          <w:tcPr>
            <w:tcW w:type="dxa" w:w="56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所得稅理論與制度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Income Tax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：</w:t>
            </w:r>
            <w:r>
              <w:rPr>
                <w:sz w:val="20"/>
                <w:szCs w:val="20"/>
                <w:rtl w:val="0"/>
                <w:lang w:val="en-US"/>
              </w:rPr>
              <w:t>Theory and Practice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學</w:t>
            </w:r>
          </w:p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修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消費稅理論與制度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Consumption Tax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：</w:t>
            </w:r>
            <w:r>
              <w:rPr>
                <w:sz w:val="20"/>
                <w:szCs w:val="20"/>
                <w:rtl w:val="0"/>
                <w:lang w:val="en-US"/>
              </w:rPr>
              <w:t xml:space="preserve"> Theory and Practice 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半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群</w:t>
            </w:r>
          </w:p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財產稅理論與制度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Property Tax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：</w:t>
            </w:r>
            <w:r>
              <w:rPr>
                <w:sz w:val="20"/>
                <w:szCs w:val="20"/>
                <w:rtl w:val="0"/>
                <w:lang w:val="en-US"/>
              </w:rPr>
              <w:t xml:space="preserve">Theory and Practice 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半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8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vMerge w:val="restart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租稅法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Tax Law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  <w:r>
              <w:rPr>
                <w:rFonts w:ascii="標楷體" w:hAnsi="標楷體"/>
                <w:rtl w:val="0"/>
                <w:lang w:val="en-US"/>
              </w:rPr>
              <w:t>/</w:t>
            </w:r>
            <w:r>
              <w:rPr>
                <w:rFonts w:eastAsia="標楷體" w:hint="eastAsia"/>
                <w:rtl w:val="0"/>
                <w:lang w:val="zh-TW" w:eastAsia="zh-TW"/>
              </w:rPr>
              <w:t>四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ascii="標楷體" w:hAnsi="標楷體"/>
                <w:sz w:val="20"/>
                <w:szCs w:val="20"/>
                <w:rtl w:val="0"/>
                <w:lang w:val="en-US"/>
              </w:rPr>
              <w:t>102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學年度調整建議修習年級</w:t>
            </w:r>
          </w:p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vMerge w:val="continue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eastAsia="標楷體" w:hint="eastAsia"/>
                <w:b w:val="0"/>
                <w:bCs w:val="0"/>
                <w:rtl w:val="0"/>
                <w:lang w:val="zh-TW" w:eastAsia="zh-TW"/>
              </w:rPr>
              <w:t>合計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20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567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註釋標題"/>
      </w:pPr>
    </w:p>
    <w:p>
      <w:pPr>
        <w:pStyle w:val="內文 A"/>
      </w:pPr>
      <w:r>
        <w:rPr>
          <w:rFonts w:ascii="標楷體" w:hAnsi="標楷體"/>
          <w:sz w:val="20"/>
          <w:szCs w:val="20"/>
          <w:rtl w:val="0"/>
          <w:lang w:val="en-US"/>
        </w:rPr>
        <w:t xml:space="preserve">         </w:t>
      </w:r>
    </w:p>
    <w:p>
      <w:pPr>
        <w:pStyle w:val="內文 A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rFonts w:ascii="標楷體" w:hAnsi="標楷體"/>
          <w:sz w:val="20"/>
          <w:szCs w:val="20"/>
          <w:rtl w:val="0"/>
          <w:lang w:val="en-US"/>
        </w:rPr>
        <w:t xml:space="preserve"> </w:t>
      </w:r>
      <w:r>
        <w:rPr>
          <w:rFonts w:eastAsia="標楷體" w:hint="eastAsia"/>
          <w:rtl w:val="0"/>
          <w:lang w:val="zh-TW" w:eastAsia="zh-TW"/>
        </w:rPr>
        <w:t>本系輔系必修科目規劃表業經本系（所）</w:t>
      </w:r>
      <w:r>
        <w:rPr>
          <w:color w:val="ff0000"/>
          <w:u w:color="ff0000"/>
          <w:rtl w:val="0"/>
          <w:lang w:val="en-US"/>
        </w:rPr>
        <w:t>105</w:t>
      </w:r>
      <w:r>
        <w:rPr>
          <w:rFonts w:eastAsia="標楷體" w:hint="eastAsia"/>
          <w:color w:val="ff0000"/>
          <w:u w:color="ff0000"/>
          <w:rtl w:val="0"/>
          <w:lang w:val="zh-TW" w:eastAsia="zh-TW"/>
        </w:rPr>
        <w:t xml:space="preserve"> 年</w:t>
      </w:r>
      <w:r>
        <w:rPr>
          <w:color w:val="ff0000"/>
          <w:u w:color="ff0000"/>
          <w:rtl w:val="0"/>
          <w:lang w:val="en-US"/>
        </w:rPr>
        <w:t>11</w:t>
      </w:r>
      <w:r>
        <w:rPr>
          <w:rFonts w:eastAsia="標楷體" w:hint="eastAsia"/>
          <w:color w:val="ff0000"/>
          <w:u w:color="ff0000"/>
          <w:rtl w:val="0"/>
          <w:lang w:val="zh-TW" w:eastAsia="zh-TW"/>
        </w:rPr>
        <w:t>月</w:t>
      </w:r>
      <w:r>
        <w:rPr>
          <w:color w:val="ff0000"/>
          <w:u w:color="ff0000"/>
          <w:rtl w:val="0"/>
          <w:lang w:val="en-US"/>
        </w:rPr>
        <w:t>2</w:t>
      </w:r>
      <w:r>
        <w:rPr>
          <w:rFonts w:eastAsia="標楷體" w:hint="eastAsia"/>
          <w:color w:val="ff0000"/>
          <w:u w:color="ff0000"/>
          <w:rtl w:val="0"/>
          <w:lang w:val="zh-TW" w:eastAsia="zh-TW"/>
        </w:rPr>
        <w:t>日</w:t>
      </w:r>
      <w:r>
        <w:rPr>
          <w:rFonts w:eastAsia="標楷體" w:hint="eastAsia"/>
          <w:rtl w:val="0"/>
          <w:lang w:val="zh-TW" w:eastAsia="zh-TW"/>
        </w:rPr>
        <w:t>課程委員會討論通過在案。</w:t>
      </w:r>
    </w:p>
    <w:p>
      <w:pPr>
        <w:pStyle w:val="純文字"/>
        <w:numPr>
          <w:ilvl w:val="0"/>
          <w:numId w:val="3"/>
        </w:numPr>
        <w:bidi w:val="0"/>
        <w:spacing w:before="120" w:after="12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依本校</w:t>
      </w:r>
      <w:r>
        <w:rPr>
          <w:rFonts w:eastAsia="標楷體" w:hint="eastAsia"/>
          <w:rtl w:val="0"/>
          <w:lang w:val="zh-TW" w:eastAsia="zh-TW"/>
        </w:rPr>
        <w:t>學生修習輔系辦法</w:t>
      </w:r>
      <w:r>
        <w:rPr>
          <w:rFonts w:eastAsia="標楷體" w:hint="eastAsia"/>
          <w:rtl w:val="0"/>
          <w:lang w:val="zh-TW" w:eastAsia="zh-TW"/>
        </w:rPr>
        <w:t>第三條規定：學生選修輔系專業（門）必修科目，至少應修習二十學分，且不得包括其主系應修習之相同科目在內。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113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標楷體">
    <w:charset w:val="00"/>
    <w:family w:val="roman"/>
    <w:pitch w:val="default"/>
  </w:font>
  <w:font w:name="DFLiHei-Bd">
    <w:charset w:val="00"/>
    <w:family w:val="roman"/>
    <w:pitch w:val="default"/>
  </w:font>
  <w:font w:name="Cambria">
    <w:charset w:val="00"/>
    <w:family w:val="roman"/>
    <w:pitch w:val="default"/>
  </w:font>
  <w:font w:name="細明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輸入樣式 1"/>
  </w:abstractNum>
  <w:abstractNum w:abstractNumId="1">
    <w:multiLevelType w:val="hybridMultilevel"/>
    <w:styleLink w:val="已輸入樣式 1"/>
    <w:lvl w:ilvl="0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註釋標題">
    <w:name w:val="註釋標題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vertAlign w:val="baseline"/>
      <w:lang w:val="en-US"/>
    </w:rPr>
  </w:style>
  <w:style w:type="paragraph" w:styleId="區塊文字">
    <w:name w:val="區塊文字"/>
    <w:next w:val="區塊文字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3" w:right="113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en-US"/>
    </w:rPr>
  </w:style>
  <w:style w:type="numbering" w:styleId="已輸入樣式 1">
    <w:name w:val="已輸入樣式 1"/>
    <w:pPr>
      <w:numPr>
        <w:numId w:val="1"/>
      </w:numPr>
    </w:pPr>
  </w:style>
  <w:style w:type="paragraph" w:styleId="純文字">
    <w:name w:val="純文字"/>
    <w:next w:val="純文字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細明體" w:cs="細明體" w:hAnsi="細明體" w:eastAsia="細明體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