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 A"/>
        <w:jc w:val="center"/>
      </w:pPr>
      <w:r>
        <w:rPr>
          <w:rtl w:val="0"/>
          <w:lang w:val="en-US"/>
        </w:rPr>
        <w:t>104</w:t>
      </w:r>
      <w:r>
        <w:rPr>
          <w:rFonts w:eastAsia="DFLiHei-Bd" w:hint="eastAsia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學士班輔系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55" w:hRule="atLeast"/>
        </w:trPr>
        <w:tc>
          <w:tcPr>
            <w:tcW w:type="dxa" w:w="567"/>
            <w:tcBorders>
              <w:top w:val="single" w:color="000000" w:sz="12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pacing w:val="20"/>
                <w:sz w:val="40"/>
                <w:szCs w:val="40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12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jc w:val="center"/>
              <w:rPr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ind w:left="113" w:right="113" w:firstLine="0"/>
              <w:jc w:val="center"/>
              <w:rPr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4"/>
                <w:szCs w:val="24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0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 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：</w:t>
            </w:r>
            <w:r>
              <w:rPr>
                <w:sz w:val="20"/>
                <w:szCs w:val="20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78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restart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102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vMerge w:val="continue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12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註釋標題"/>
      </w:pPr>
    </w:p>
    <w:p>
      <w:pPr>
        <w:pStyle w:val="內文 A"/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        </w:t>
      </w:r>
    </w:p>
    <w:p>
      <w:pPr>
        <w:pStyle w:val="內文 A"/>
        <w:numPr>
          <w:ilvl w:val="0"/>
          <w:numId w:val="2"/>
        </w:numPr>
        <w:rPr>
          <w:sz w:val="20"/>
          <w:szCs w:val="20"/>
          <w:lang w:val="en-US"/>
        </w:rPr>
      </w:pPr>
      <w:r>
        <w:rPr>
          <w:rFonts w:ascii="標楷體" w:hAnsi="標楷體"/>
          <w:sz w:val="20"/>
          <w:szCs w:val="20"/>
          <w:rtl w:val="0"/>
          <w:lang w:val="en-US"/>
        </w:rPr>
        <w:t xml:space="preserve"> </w:t>
      </w:r>
      <w:r>
        <w:rPr>
          <w:rFonts w:eastAsia="標楷體" w:hint="eastAsia"/>
          <w:rtl w:val="0"/>
          <w:lang w:val="zh-TW" w:eastAsia="zh-TW"/>
        </w:rPr>
        <w:t>本系輔系必修科目規劃表業經本系（所）</w:t>
      </w:r>
      <w:r>
        <w:rPr>
          <w:rtl w:val="0"/>
          <w:lang w:val="en-US"/>
        </w:rPr>
        <w:t>103</w:t>
      </w:r>
      <w:r>
        <w:rPr>
          <w:rFonts w:eastAsia="標楷體" w:hint="eastAsia"/>
          <w:rtl w:val="0"/>
          <w:lang w:val="zh-TW" w:eastAsia="zh-TW"/>
        </w:rPr>
        <w:t xml:space="preserve"> 年</w:t>
      </w:r>
      <w:r>
        <w:rPr>
          <w:rtl w:val="0"/>
          <w:lang w:val="en-US"/>
        </w:rPr>
        <w:t xml:space="preserve"> 11</w:t>
      </w:r>
      <w:r>
        <w:rPr>
          <w:rFonts w:eastAsia="標楷體" w:hint="eastAsia"/>
          <w:rtl w:val="0"/>
          <w:lang w:val="zh-TW" w:eastAsia="zh-TW"/>
        </w:rPr>
        <w:t xml:space="preserve"> 月</w:t>
      </w:r>
      <w:r>
        <w:rPr>
          <w:rtl w:val="0"/>
          <w:lang w:val="en-US"/>
        </w:rPr>
        <w:t>5</w:t>
      </w:r>
      <w:r>
        <w:rPr>
          <w:rFonts w:eastAsia="標楷體" w:hint="eastAsia"/>
          <w:rtl w:val="0"/>
          <w:lang w:val="zh-TW" w:eastAsia="zh-TW"/>
        </w:rPr>
        <w:t>日課程委員會討論通過在案。</w:t>
      </w:r>
    </w:p>
    <w:p>
      <w:pPr>
        <w:pStyle w:val="純文字"/>
        <w:numPr>
          <w:ilvl w:val="0"/>
          <w:numId w:val="3"/>
        </w:numPr>
        <w:bidi w:val="0"/>
        <w:spacing w:before="120" w:after="120"/>
        <w:ind w:right="0"/>
        <w:jc w:val="left"/>
        <w:rPr>
          <w:rFonts w:eastAsia="標楷體" w:hint="eastAsia"/>
          <w:rtl w:val="0"/>
          <w:lang w:val="zh-TW" w:eastAsia="zh-TW"/>
        </w:rPr>
      </w:pPr>
      <w:r>
        <w:rPr>
          <w:rFonts w:eastAsia="標楷體" w:hint="eastAsia"/>
          <w:rtl w:val="0"/>
          <w:lang w:val="zh-TW" w:eastAsia="zh-TW"/>
        </w:rPr>
        <w:t>依本校</w:t>
      </w:r>
      <w:r>
        <w:rPr>
          <w:rFonts w:eastAsia="標楷體" w:hint="eastAsia"/>
          <w:rtl w:val="0"/>
          <w:lang w:val="zh-TW" w:eastAsia="zh-TW"/>
        </w:rPr>
        <w:t>學生修習輔系辦法</w:t>
      </w:r>
      <w:r>
        <w:rPr>
          <w:rFonts w:eastAsia="標楷體" w:hint="eastAsia"/>
          <w:rtl w:val="0"/>
          <w:lang w:val="zh-TW" w:eastAsia="zh-TW"/>
        </w:rPr>
        <w:t>第三條規定：學生選修輔系專業（門）必修科目，至少應修習二十學分，且不得包括其主系應修習之相同科目在內。</w:t>
      </w:r>
    </w:p>
    <w:sectPr>
      <w:headerReference w:type="default" r:id="rId4"/>
      <w:footerReference w:type="default" r:id="rId5"/>
      <w:pgSz w:w="11900" w:h="16840" w:orient="portrait"/>
      <w:pgMar w:top="567" w:right="851" w:bottom="567" w:left="851" w:header="113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FLiHei-Bd">
    <w:charset w:val="00"/>
    <w:family w:val="roman"/>
    <w:pitch w:val="default"/>
  </w:font>
  <w:font w:name="標楷體">
    <w:charset w:val="00"/>
    <w:family w:val="roman"/>
    <w:pitch w:val="default"/>
  </w:font>
  <w:font w:name="Cambria">
    <w:charset w:val="00"/>
    <w:family w:val="roman"/>
    <w:pitch w:val="default"/>
  </w:font>
  <w:font w:name="細明體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88" w:hanging="288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※"/>
        <w:lvlJc w:val="left"/>
        <w:pPr>
          <w:tabs>
            <w:tab w:val="left" w:pos="240"/>
          </w:tabs>
          <w:ind w:left="240" w:hanging="240"/>
        </w:pPr>
        <w:rPr>
          <w:rFonts w:ascii="標楷體" w:cs="標楷體" w:hAnsi="標楷體" w:eastAsia="標楷體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  <w:style w:type="paragraph" w:styleId="純文字">
    <w:name w:val="純文字"/>
    <w:next w:val="純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細明體" w:cs="細明體" w:hAnsi="細明體" w:eastAsia="細明體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