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註釋標題"/>
        <w:spacing w:line="20" w:lineRule="atLeast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106</w:t>
      </w:r>
      <w:r>
        <w:rPr>
          <w:rFonts w:ascii="標楷體" w:hAnsi="標楷體"/>
          <w:sz w:val="24"/>
          <w:szCs w:val="24"/>
          <w:rtl w:val="0"/>
          <w:lang w:val="en-US"/>
        </w:rPr>
        <w:t xml:space="preserve"> 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學年度國立臺北大學公共事務學院學士班修習</w:t>
      </w:r>
    </w:p>
    <w:p>
      <w:pPr>
        <w:pStyle w:val="註釋標題"/>
        <w:spacing w:line="20" w:lineRule="atLeast"/>
        <w:rPr>
          <w:sz w:val="24"/>
          <w:szCs w:val="24"/>
          <w:lang w:val="zh-TW" w:eastAsia="zh-TW"/>
        </w:rPr>
      </w:pPr>
      <w:r>
        <w:rPr>
          <w:rFonts w:eastAsia="DFLiHei-Bd" w:hint="eastAsia"/>
          <w:sz w:val="24"/>
          <w:szCs w:val="24"/>
          <w:rtl w:val="0"/>
          <w:lang w:val="zh-TW" w:eastAsia="zh-TW"/>
        </w:rPr>
        <w:t>財政學系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學士班雙主修</w:t>
      </w:r>
      <w:r>
        <w:rPr>
          <w:rFonts w:eastAsia="DFLiHei-Bd" w:hint="eastAsia"/>
          <w:sz w:val="24"/>
          <w:szCs w:val="24"/>
          <w:rtl w:val="0"/>
          <w:lang w:val="zh-TW" w:eastAsia="zh-TW"/>
        </w:rPr>
        <w:t>專業科目規劃表</w:t>
      </w:r>
    </w:p>
    <w:tbl>
      <w:tblPr>
        <w:tblW w:w="992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67"/>
        <w:gridCol w:w="567"/>
        <w:gridCol w:w="2268"/>
        <w:gridCol w:w="567"/>
        <w:gridCol w:w="851"/>
        <w:gridCol w:w="851"/>
        <w:gridCol w:w="851"/>
        <w:gridCol w:w="1418"/>
        <w:gridCol w:w="567"/>
        <w:gridCol w:w="1418"/>
      </w:tblGrid>
      <w:tr>
        <w:tblPrEx>
          <w:shd w:val="clear" w:color="auto" w:fill="ced7e7"/>
        </w:tblPrEx>
        <w:trPr>
          <w:trHeight w:val="2040" w:hRule="atLeast"/>
        </w:trPr>
        <w:tc>
          <w:tcPr>
            <w:tcW w:type="dxa" w:w="567"/>
            <w:tcBorders>
              <w:top w:val="single" w:color="000000" w:sz="6" w:space="0" w:shadow="0" w:frame="0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領域或學群別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必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或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選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pacing w:val="20"/>
                <w:sz w:val="28"/>
                <w:szCs w:val="28"/>
                <w:rtl w:val="0"/>
                <w:lang w:val="zh-TW" w:eastAsia="zh-TW"/>
              </w:rPr>
              <w:t>科目名稱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學分合計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課程類別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全年或半年</w:t>
            </w:r>
            <w:r>
              <w:rPr>
                <w:rFonts w:ascii="標楷體" w:hAnsi="標楷體"/>
                <w:sz w:val="28"/>
                <w:szCs w:val="28"/>
                <w:rtl w:val="0"/>
                <w:lang w:val="en-US"/>
              </w:rPr>
              <w:t>)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建議修習年級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開課系所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  <w:rPr>
                <w:rFonts w:ascii="標楷體" w:cs="標楷體" w:hAnsi="標楷體"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先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修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Fonts w:ascii="標楷體" w:cs="標楷體" w:hAnsi="標楷體" w:eastAsia="標楷體"/>
                <w:sz w:val="28"/>
                <w:szCs w:val="28"/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</w:t>
            </w:r>
          </w:p>
          <w:p>
            <w:pPr>
              <w:pStyle w:val="內文 A"/>
              <w:tabs>
                <w:tab w:val="left" w:pos="2160"/>
              </w:tabs>
              <w:bidi w:val="0"/>
              <w:spacing w:line="2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目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開課屬性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193"/>
            </w:tcMar>
            <w:vAlign w:val="center"/>
          </w:tcPr>
          <w:p>
            <w:pPr>
              <w:pStyle w:val="區塊文字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科目修訂原因</w:t>
            </w: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)</w:t>
            </w:r>
          </w:p>
          <w:p>
            <w:pPr>
              <w:pStyle w:val="區塊文字"/>
              <w:bidi w:val="0"/>
              <w:spacing w:line="20" w:lineRule="atLeast"/>
              <w:ind w:left="113" w:right="113" w:firstLine="0"/>
              <w:jc w:val="center"/>
              <w:rPr>
                <w:sz w:val="28"/>
                <w:szCs w:val="28"/>
                <w:rtl w:val="0"/>
              </w:rPr>
            </w:pPr>
            <w:r>
              <w:rPr>
                <w:rFonts w:ascii="Times New Roman" w:hAnsi="Times New Roman"/>
                <w:sz w:val="28"/>
                <w:szCs w:val="28"/>
                <w:rtl w:val="0"/>
                <w:lang w:val="en-US"/>
              </w:rPr>
              <w:t>(</w:t>
            </w: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本欄請填註</w:t>
            </w:r>
          </w:p>
          <w:p>
            <w:pPr>
              <w:pStyle w:val="內文 A"/>
              <w:bidi w:val="0"/>
              <w:spacing w:line="20" w:lineRule="atLeast"/>
              <w:ind w:left="113" w:right="113" w:firstLine="0"/>
              <w:jc w:val="center"/>
              <w:rPr>
                <w:rtl w:val="0"/>
              </w:rPr>
            </w:pPr>
            <w:r>
              <w:rPr>
                <w:rFonts w:eastAsia="標楷體" w:hint="eastAsia"/>
                <w:sz w:val="28"/>
                <w:szCs w:val="28"/>
                <w:rtl w:val="0"/>
                <w:lang w:val="zh-TW" w:eastAsia="zh-TW"/>
              </w:rPr>
              <w:t>備　　　註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基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必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</w:t>
            </w:r>
            <w:r>
              <w:rPr>
                <w:rtl w:val="0"/>
                <w:lang w:val="en-US"/>
              </w:rPr>
              <w:t>Economics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礎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修</w:t>
            </w:r>
          </w:p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經濟學實習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學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>
                <w:rtl w:val="0"/>
                <w:lang w:val="en-US"/>
              </w:rPr>
              <w:t>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ascii="標楷體" w:hAnsi="標楷體"/>
                <w:color w:val="ff0000"/>
                <w:sz w:val="16"/>
                <w:szCs w:val="16"/>
                <w:u w:color="ff0000"/>
                <w:rtl w:val="0"/>
                <w:lang w:val="en-US"/>
              </w:rPr>
              <w:t>(104</w:t>
            </w:r>
            <w:r>
              <w:rPr>
                <w:rFonts w:eastAsia="標楷體" w:hint="eastAsia"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上課時數調整為</w:t>
            </w:r>
            <w:r>
              <w:rPr>
                <w:rFonts w:ascii="標楷體" w:hAnsi="標楷體"/>
                <w:color w:val="ff0000"/>
                <w:sz w:val="16"/>
                <w:szCs w:val="16"/>
                <w:u w:color="ff0000"/>
                <w:rtl w:val="0"/>
                <w:lang w:val="en-US"/>
              </w:rPr>
              <w:t>3</w:t>
            </w:r>
            <w:r>
              <w:rPr>
                <w:rFonts w:eastAsia="標楷體" w:hint="eastAsia"/>
                <w:color w:val="ff0000"/>
                <w:sz w:val="16"/>
                <w:szCs w:val="16"/>
                <w:u w:color="ff0000"/>
                <w:rtl w:val="0"/>
                <w:lang w:val="zh-TW" w:eastAsia="zh-TW"/>
              </w:rPr>
              <w:t>小時</w:t>
            </w:r>
            <w:r>
              <w:rPr>
                <w:rFonts w:ascii="標楷體" w:hAnsi="標楷體"/>
                <w:color w:val="ff0000"/>
                <w:sz w:val="16"/>
                <w:szCs w:val="16"/>
                <w:u w:color="ff000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群</w:t>
            </w:r>
          </w:p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</w:t>
            </w:r>
            <w:r>
              <w:rPr>
                <w:rtl w:val="0"/>
                <w:lang w:val="en-US"/>
              </w:rPr>
              <w:t>Statistics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統計學實習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B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400" w:lineRule="exact"/>
            </w:pPr>
            <w:r>
              <w:rPr>
                <w:rFonts w:eastAsia="標楷體" w:hint="eastAsia"/>
                <w:rtl w:val="0"/>
                <w:lang w:val="zh-TW" w:eastAsia="zh-TW"/>
              </w:rPr>
              <w:t>微積分</w:t>
            </w:r>
            <w:r>
              <w:rPr>
                <w:rtl w:val="0"/>
                <w:lang w:val="en-US"/>
              </w:rPr>
              <w:t>Calculus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400" w:lineRule="exac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民法概要</w:t>
            </w:r>
            <w:r>
              <w:rPr>
                <w:sz w:val="16"/>
                <w:szCs w:val="16"/>
                <w:rtl w:val="0"/>
                <w:lang w:val="en-US"/>
              </w:rPr>
              <w:t>Introduction to the Study of Civil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一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Public Finance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個體經濟學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Microeconomics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總體經濟學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Macroeconomics I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經濟學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en-US"/>
              </w:rPr>
              <w:t>Intermediate Accounting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  <w:r>
              <w:rPr/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中級會計學實習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0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會計學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5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貨幣銀行學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tl w:val="0"/>
                <w:lang w:val="en-US"/>
              </w:rPr>
              <w:t>Money &amp; Banking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0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商事法</w:t>
            </w:r>
            <w:r>
              <w:rPr>
                <w:sz w:val="20"/>
                <w:szCs w:val="20"/>
                <w:rtl w:val="0"/>
                <w:lang w:val="en-US"/>
              </w:rPr>
              <w:t>Business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二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學年度調整學分數</w:t>
            </w: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(101.5.24)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所得稅理論與制度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Income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>Theory and Practice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jc w:val="center"/>
              <w:rPr>
                <w:rFonts w:ascii="標楷體" w:cs="標楷體" w:hAnsi="標楷體" w:eastAsia="標楷體"/>
                <w:sz w:val="16"/>
                <w:szCs w:val="16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101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學年度起新增</w:t>
            </w:r>
          </w:p>
          <w:p>
            <w:pPr>
              <w:pStyle w:val="內文 A"/>
              <w:tabs>
                <w:tab w:val="left" w:pos="2160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標楷體" w:hAnsi="標楷體"/>
                <w:sz w:val="16"/>
                <w:szCs w:val="16"/>
                <w:rtl w:val="0"/>
                <w:lang w:val="en-US"/>
              </w:rPr>
              <w:t>(100.12.29)</w:t>
            </w:r>
          </w:p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消費稅理論與制度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Consumption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13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rPr/>
            </w:pPr>
            <w:r>
              <w:rPr>
                <w:rFonts w:eastAsia="標楷體" w:hint="eastAsia"/>
                <w:rtl w:val="0"/>
                <w:lang w:val="zh-TW" w:eastAsia="zh-TW"/>
              </w:rPr>
              <w:t>財產稅理論與制度</w:t>
            </w:r>
          </w:p>
          <w:p>
            <w:pPr>
              <w:pStyle w:val="內文 A"/>
              <w:bidi w:val="0"/>
              <w:spacing w:line="2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sz w:val="16"/>
                <w:szCs w:val="16"/>
                <w:rtl w:val="0"/>
                <w:lang w:val="en-US"/>
              </w:rPr>
              <w:t>Property Tax</w:t>
            </w:r>
            <w:r>
              <w:rPr>
                <w:rFonts w:eastAsia="標楷體" w:hint="eastAsia"/>
                <w:sz w:val="16"/>
                <w:szCs w:val="16"/>
                <w:rtl w:val="0"/>
                <w:lang w:val="zh-TW" w:eastAsia="zh-TW"/>
              </w:rPr>
              <w:t>：</w:t>
            </w:r>
            <w:r>
              <w:rPr>
                <w:sz w:val="16"/>
                <w:szCs w:val="16"/>
                <w:rtl w:val="0"/>
                <w:lang w:val="en-US"/>
              </w:rPr>
              <w:t xml:space="preserve">Theory and Practice 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3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半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9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nil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</w:pPr>
            <w:r>
              <w:rPr>
                <w:rFonts w:eastAsia="標楷體" w:hint="eastAsia"/>
                <w:rtl w:val="0"/>
                <w:lang w:val="zh-TW" w:eastAsia="zh-TW"/>
              </w:rPr>
              <w:t>租稅法</w:t>
            </w:r>
            <w:r>
              <w:rPr>
                <w:rtl w:val="0"/>
                <w:lang w:val="en-US"/>
              </w:rPr>
              <w:t>Tax Law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tl w:val="0"/>
                <w:lang w:val="en-US"/>
              </w:rPr>
              <w:t>4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三</w:t>
            </w:r>
            <w:r>
              <w:rPr>
                <w:rFonts w:ascii="標楷體" w:hAnsi="標楷體"/>
                <w:rtl w:val="0"/>
                <w:lang w:val="en-US"/>
              </w:rPr>
              <w:t>/</w:t>
            </w:r>
            <w:r>
              <w:rPr>
                <w:rFonts w:eastAsia="標楷體" w:hint="eastAsia"/>
                <w:rtl w:val="0"/>
                <w:lang w:val="zh-TW" w:eastAsia="zh-TW"/>
              </w:rPr>
              <w:t>四</w:t>
            </w:r>
          </w:p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before="180"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財政系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財政學（一）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tl w:val="0"/>
                <w:lang w:val="en-US"/>
              </w:rPr>
              <w:t>A</w:t>
            </w:r>
          </w:p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內文 A"/>
              <w:tabs>
                <w:tab w:val="left" w:pos="2160"/>
              </w:tabs>
              <w:spacing w:line="20" w:lineRule="atLeast"/>
              <w:jc w:val="center"/>
            </w:pPr>
            <w:r>
              <w:rPr>
                <w:rFonts w:ascii="標楷體" w:hAnsi="標楷體"/>
                <w:sz w:val="20"/>
                <w:szCs w:val="20"/>
                <w:rtl w:val="0"/>
                <w:lang w:val="en-US"/>
              </w:rPr>
              <w:t>102</w:t>
            </w:r>
            <w:r>
              <w:rPr>
                <w:rFonts w:eastAsia="標楷體" w:hint="eastAsia"/>
                <w:sz w:val="20"/>
                <w:szCs w:val="20"/>
                <w:rtl w:val="0"/>
                <w:lang w:val="zh-TW" w:eastAsia="zh-TW"/>
              </w:rPr>
              <w:t>學年度調整建議修習年級</w:t>
            </w:r>
          </w:p>
        </w:tc>
      </w:tr>
      <w:tr>
        <w:tblPrEx>
          <w:shd w:val="clear" w:color="auto" w:fill="ced7e7"/>
        </w:tblPrEx>
        <w:trPr>
          <w:trHeight w:val="307" w:hRule="atLeast"/>
        </w:trPr>
        <w:tc>
          <w:tcPr>
            <w:tcW w:type="dxa" w:w="567"/>
            <w:tcBorders>
              <w:top w:val="nil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nil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26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</w:pPr>
            <w:r>
              <w:rPr>
                <w:rFonts w:eastAsia="標楷體" w:hint="eastAsia"/>
                <w:b w:val="0"/>
                <w:bCs w:val="0"/>
                <w:rtl w:val="0"/>
                <w:lang w:val="zh-TW" w:eastAsia="zh-TW"/>
              </w:rPr>
              <w:t>必修合計</w:t>
            </w:r>
          </w:p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before="180" w:after="180" w:line="20" w:lineRule="atLeast"/>
              <w:jc w:val="center"/>
            </w:pPr>
            <w:r>
              <w:rPr>
                <w:b w:val="1"/>
                <w:bCs w:val="1"/>
                <w:rtl w:val="0"/>
                <w:lang w:val="en-US"/>
              </w:rPr>
              <w:t>66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內文 A"/>
              <w:spacing w:line="20" w:lineRule="atLeast"/>
              <w:jc w:val="center"/>
            </w:pPr>
            <w:r>
              <w:rPr>
                <w:rFonts w:eastAsia="標楷體" w:hint="eastAsia"/>
                <w:rtl w:val="0"/>
                <w:lang w:val="zh-TW" w:eastAsia="zh-TW"/>
              </w:rPr>
              <w:t>全</w:t>
            </w:r>
          </w:p>
        </w:tc>
        <w:tc>
          <w:tcPr>
            <w:tcW w:type="dxa" w:w="85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56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1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註釋標題"/>
        <w:rPr>
          <w:sz w:val="24"/>
          <w:szCs w:val="24"/>
          <w:lang w:val="zh-TW" w:eastAsia="zh-TW"/>
        </w:rPr>
      </w:pPr>
    </w:p>
    <w:p>
      <w:pPr>
        <w:pStyle w:val="內文 A"/>
        <w:spacing w:line="20" w:lineRule="atLeast"/>
        <w:rPr>
          <w:rFonts w:ascii="標楷體" w:cs="標楷體" w:hAnsi="標楷體" w:eastAsia="標楷體"/>
          <w:sz w:val="20"/>
          <w:szCs w:val="2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　　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規劃表說明：</w:t>
      </w:r>
    </w:p>
    <w:p>
      <w:pPr>
        <w:pStyle w:val="內文 A"/>
        <w:spacing w:line="20" w:lineRule="atLeast"/>
        <w:ind w:left="200" w:hanging="200"/>
        <w:rPr>
          <w:sz w:val="20"/>
          <w:szCs w:val="20"/>
        </w:rPr>
      </w:pP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n-US"/>
        </w:rPr>
        <w:t>※</w:t>
      </w:r>
      <w:r>
        <w:rPr>
          <w:rFonts w:eastAsia="標楷體" w:hint="eastAsia"/>
          <w:sz w:val="20"/>
          <w:szCs w:val="20"/>
          <w:rtl w:val="0"/>
          <w:lang w:val="zh-TW" w:eastAsia="zh-TW"/>
        </w:rPr>
        <w:t>非財政系學生選修本系為雙主修，必需修習完上列基礎學群全部課程方承認為雙主修。</w:t>
      </w:r>
    </w:p>
    <w:p>
      <w:pPr>
        <w:pStyle w:val="內文 A"/>
        <w:numPr>
          <w:ilvl w:val="0"/>
          <w:numId w:val="2"/>
        </w:numPr>
        <w:bidi w:val="0"/>
        <w:spacing w:line="20" w:lineRule="atLeast"/>
        <w:ind w:right="0"/>
        <w:jc w:val="left"/>
        <w:rPr>
          <w:sz w:val="20"/>
          <w:szCs w:val="20"/>
          <w:rtl w:val="0"/>
          <w:lang w:val="zh-TW" w:eastAsia="zh-TW"/>
        </w:rPr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修習本系雙主修之同學，若其本系所修課程有與上列課程相同者（指課程名稱及學分數皆相同，且有實習課），得免修該門課，唯扣除與本系上列相同之重複課程後，仍需修足上列課程四十學分以上，始承認雙主修。若扣除與本系上列相同之重複課程後，所修課程不足四十學分，則應另修本系所開其他選修課程以補足四十學分，始承認雙主修。</w:t>
      </w:r>
    </w:p>
    <w:p>
      <w:pPr>
        <w:pStyle w:val="內文 A"/>
        <w:spacing w:line="20" w:lineRule="atLeast"/>
      </w:pPr>
      <w:r>
        <w:rPr>
          <w:rFonts w:eastAsia="標楷體" w:hint="eastAsia"/>
          <w:sz w:val="20"/>
          <w:szCs w:val="20"/>
          <w:rtl w:val="0"/>
          <w:lang w:val="zh-TW" w:eastAsia="zh-TW"/>
        </w:rPr>
        <w:t>本系雙主修必修科目規劃表業經本系（所）</w:t>
      </w:r>
      <w:r>
        <w:rPr>
          <w:rFonts w:ascii="標楷體" w:hAnsi="標楷體"/>
          <w:color w:val="ff0000"/>
          <w:spacing w:val="-20"/>
          <w:sz w:val="20"/>
          <w:szCs w:val="20"/>
          <w:u w:color="ff0000"/>
          <w:rtl w:val="0"/>
          <w:lang w:val="en-US"/>
        </w:rPr>
        <w:t>105</w:t>
      </w:r>
      <w:r>
        <w:rPr>
          <w:rFonts w:eastAsia="標楷體" w:hint="eastAsia"/>
          <w:color w:val="ff0000"/>
          <w:sz w:val="20"/>
          <w:szCs w:val="20"/>
          <w:u w:color="ff0000"/>
          <w:rtl w:val="0"/>
          <w:lang w:val="zh-TW" w:eastAsia="zh-TW"/>
        </w:rPr>
        <w:t>年</w:t>
      </w:r>
      <w:r>
        <w:rPr>
          <w:rFonts w:ascii="標楷體" w:hAnsi="標楷體"/>
          <w:color w:val="ff0000"/>
          <w:sz w:val="20"/>
          <w:szCs w:val="20"/>
          <w:u w:color="ff0000"/>
          <w:rtl w:val="0"/>
          <w:lang w:val="en-US"/>
        </w:rPr>
        <w:t>11</w:t>
      </w:r>
      <w:r>
        <w:rPr>
          <w:rFonts w:eastAsia="標楷體" w:hint="eastAsia"/>
          <w:color w:val="ff0000"/>
          <w:sz w:val="20"/>
          <w:szCs w:val="20"/>
          <w:u w:color="ff0000"/>
          <w:rtl w:val="0"/>
          <w:lang w:val="zh-TW" w:eastAsia="zh-TW"/>
        </w:rPr>
        <w:t>月</w:t>
      </w:r>
      <w:r>
        <w:rPr>
          <w:rFonts w:ascii="標楷體" w:hAnsi="標楷體"/>
          <w:color w:val="ff0000"/>
          <w:sz w:val="20"/>
          <w:szCs w:val="20"/>
          <w:u w:color="ff0000"/>
          <w:rtl w:val="0"/>
          <w:lang w:val="en-US"/>
        </w:rPr>
        <w:t>2</w:t>
      </w:r>
      <w:r>
        <w:rPr>
          <w:rFonts w:eastAsia="標楷體" w:hint="eastAsia"/>
          <w:color w:val="ff0000"/>
          <w:sz w:val="20"/>
          <w:szCs w:val="20"/>
          <w:u w:color="ff0000"/>
          <w:rtl w:val="0"/>
          <w:lang w:val="zh-TW" w:eastAsia="zh-TW"/>
        </w:rPr>
        <w:t>日</w:t>
      </w:r>
      <w:r>
        <w:rPr>
          <w:rFonts w:eastAsia="標楷體" w:hint="eastAsia"/>
          <w:spacing w:val="-20"/>
          <w:sz w:val="20"/>
          <w:szCs w:val="20"/>
          <w:rtl w:val="0"/>
          <w:lang w:val="zh-TW" w:eastAsia="zh-TW"/>
        </w:rPr>
        <w:t>課程委員會討通過在案。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113" w:footer="45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標楷體">
    <w:charset w:val="00"/>
    <w:family w:val="roman"/>
    <w:pitch w:val="default"/>
  </w:font>
  <w:font w:name="DFLiHei-Bd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頁首與頁尾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已輸入樣式 1"/>
  </w:abstractNum>
  <w:abstractNum w:abstractNumId="1">
    <w:multiLevelType w:val="hybridMultilevel"/>
    <w:styleLink w:val="已輸入樣式 1"/>
    <w:lvl w:ilvl="0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※"/>
      <w:lvlJc w:val="left"/>
      <w:pPr>
        <w:ind w:left="240" w:hanging="240"/>
      </w:pPr>
      <w:rPr>
        <w:rFonts w:ascii="標楷體" w:cs="標楷體" w:hAnsi="標楷體" w:eastAsia="標楷體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48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頁首與頁尾">
    <w:name w:val="頁首與頁尾"/>
    <w:next w:val="頁首與頁尾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註釋標題">
    <w:name w:val="註釋標題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8"/>
      <w:szCs w:val="28"/>
      <w:u w:val="none" w:color="000000"/>
      <w:vertAlign w:val="baseline"/>
      <w:lang w:val="en-US"/>
    </w:rPr>
  </w:style>
  <w:style w:type="paragraph" w:styleId="內文 A">
    <w:name w:val="內文 A"/>
    <w:next w:val="內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en-US"/>
    </w:rPr>
  </w:style>
  <w:style w:type="paragraph" w:styleId="區塊文字">
    <w:name w:val="區塊文字"/>
    <w:next w:val="區塊文字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13" w:right="113" w:firstLine="0"/>
      <w:jc w:val="left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en-US"/>
    </w:rPr>
  </w:style>
  <w:style w:type="numbering" w:styleId="已輸入樣式 1">
    <w:name w:val="已輸入樣式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