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註釋標題"/>
        <w:spacing w:line="20" w:lineRule="atLea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103</w:t>
      </w:r>
      <w:r>
        <w:rPr>
          <w:rFonts w:ascii="標楷體" w:hAnsi="標楷體"/>
          <w:sz w:val="24"/>
          <w:szCs w:val="24"/>
          <w:rtl w:val="0"/>
          <w:lang w:val="en-US"/>
        </w:rPr>
        <w:t xml:space="preserve"> 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學年度國立臺北大學公共事務學院學士班修習</w:t>
      </w:r>
    </w:p>
    <w:p>
      <w:pPr>
        <w:pStyle w:val="註釋標題"/>
        <w:spacing w:line="20" w:lineRule="atLeast"/>
        <w:rPr>
          <w:sz w:val="24"/>
          <w:szCs w:val="24"/>
          <w:lang w:val="zh-TW" w:eastAsia="zh-TW"/>
        </w:rPr>
      </w:pPr>
      <w:r>
        <w:rPr>
          <w:rFonts w:eastAsia="DFLiHei-Bd" w:hint="eastAsia"/>
          <w:sz w:val="24"/>
          <w:szCs w:val="24"/>
          <w:rtl w:val="0"/>
          <w:lang w:val="zh-TW" w:eastAsia="zh-TW"/>
        </w:rPr>
        <w:t>財政學系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學士班雙主修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專業科目規劃表</w:t>
      </w:r>
    </w:p>
    <w:tbl>
      <w:tblPr>
        <w:tblW w:w="99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領域或學群別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必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或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選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pacing w:val="20"/>
                <w:sz w:val="28"/>
                <w:szCs w:val="28"/>
                <w:rtl w:val="0"/>
                <w:lang w:val="zh-TW" w:eastAsia="zh-TW"/>
              </w:rPr>
              <w:t>科目名稱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學分合計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課程類別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全年或半年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建議修習年級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開課系所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先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目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開課屬性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區塊文字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科目修訂原因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  <w:p>
            <w:pPr>
              <w:pStyle w:val="區塊文字"/>
              <w:bidi w:val="0"/>
              <w:spacing w:line="20" w:lineRule="atLeast"/>
              <w:ind w:left="113" w:right="113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本欄請填註</w:t>
            </w:r>
          </w:p>
          <w:p>
            <w:pPr>
              <w:pStyle w:val="內文 A"/>
              <w:bidi w:val="0"/>
              <w:spacing w:line="20" w:lineRule="atLeast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備　　　註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基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必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經濟學</w:t>
            </w:r>
            <w:r>
              <w:rPr>
                <w:rtl w:val="0"/>
                <w:lang w:val="en-US"/>
              </w:rPr>
              <w:t>Economics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礎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經濟學實習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學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  <w:r>
              <w:rPr>
                <w:rtl w:val="0"/>
                <w:lang w:val="en-US"/>
              </w:rPr>
              <w:t>Accounting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群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會計學實習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統計學</w:t>
            </w:r>
            <w:r>
              <w:rPr>
                <w:rtl w:val="0"/>
                <w:lang w:val="en-US"/>
              </w:rPr>
              <w:t>Statistics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統計學實習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微積分</w:t>
            </w:r>
            <w:r>
              <w:rPr>
                <w:rtl w:val="0"/>
                <w:lang w:val="en-US"/>
              </w:rPr>
              <w:t>Calculus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民法概要</w:t>
            </w:r>
            <w:r>
              <w:rPr>
                <w:sz w:val="16"/>
                <w:szCs w:val="16"/>
                <w:rtl w:val="0"/>
                <w:lang w:val="en-US"/>
              </w:rPr>
              <w:t>Introduction to the Study of Civil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Public Finance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個體經濟學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Microeconomics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經濟學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總體經濟學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Macroeconomics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經濟學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中級會計學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Intermediate Accounting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  <w:r>
              <w:rPr/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中級會計學實習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貨幣銀行學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Money &amp; Banking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商事法</w:t>
            </w:r>
            <w:r>
              <w:rPr>
                <w:sz w:val="20"/>
                <w:szCs w:val="20"/>
                <w:rtl w:val="0"/>
                <w:lang w:val="en-US"/>
              </w:rPr>
              <w:t>Business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101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學年度調整學分數</w:t>
            </w: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(101.5.24)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所得稅理論與制度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Income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>Theory and Practice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101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學年度起新增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(100.12.29)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消費稅理論與制度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Consumption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after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財產稅理論與制度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Property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租稅法</w:t>
            </w:r>
            <w:r>
              <w:rPr>
                <w:rtl w:val="0"/>
                <w:lang w:val="en-US"/>
              </w:rPr>
              <w:t>Tax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eastAsia="標楷體" w:hint="eastAsia"/>
                <w:rtl w:val="0"/>
                <w:lang w:val="zh-TW" w:eastAsia="zh-TW"/>
              </w:rPr>
              <w:t>四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ascii="標楷體" w:hAnsi="標楷體"/>
                <w:sz w:val="20"/>
                <w:szCs w:val="20"/>
                <w:rtl w:val="0"/>
                <w:lang w:val="en-US"/>
              </w:rPr>
              <w:t>102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學年度調整建議修習年級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after="180" w:line="20" w:lineRule="atLeast"/>
            </w:pPr>
            <w:r>
              <w:rPr>
                <w:rFonts w:eastAsia="標楷體" w:hint="eastAsia"/>
                <w:b w:val="0"/>
                <w:bCs w:val="0"/>
                <w:rtl w:val="0"/>
                <w:lang w:val="zh-TW" w:eastAsia="zh-TW"/>
              </w:rPr>
              <w:t>必修合計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after="180"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註釋標題"/>
        <w:rPr>
          <w:sz w:val="24"/>
          <w:szCs w:val="24"/>
          <w:lang w:val="zh-TW" w:eastAsia="zh-TW"/>
        </w:rPr>
      </w:pPr>
    </w:p>
    <w:p>
      <w:pPr>
        <w:pStyle w:val="內文 A"/>
        <w:spacing w:line="20" w:lineRule="atLeast"/>
        <w:rPr>
          <w:rFonts w:ascii="標楷體" w:cs="標楷體" w:hAnsi="標楷體" w:eastAsia="標楷體"/>
          <w:sz w:val="20"/>
          <w:szCs w:val="20"/>
          <w:lang w:val="zh-TW" w:eastAsia="zh-TW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　　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規劃表說明：</w:t>
      </w:r>
    </w:p>
    <w:p>
      <w:pPr>
        <w:pStyle w:val="內文 A"/>
        <w:spacing w:line="20" w:lineRule="atLeast"/>
        <w:ind w:left="200" w:hanging="200"/>
        <w:rPr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※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非財政系學生選修本系為雙主修，必需修習完上列基礎學群全部課程方承認為雙主修。</w:t>
      </w:r>
    </w:p>
    <w:p>
      <w:pPr>
        <w:pStyle w:val="內文 A"/>
        <w:numPr>
          <w:ilvl w:val="0"/>
          <w:numId w:val="2"/>
        </w:numPr>
        <w:bidi w:val="0"/>
        <w:spacing w:line="20" w:lineRule="atLeast"/>
        <w:ind w:right="0"/>
        <w:jc w:val="left"/>
        <w:rPr>
          <w:sz w:val="20"/>
          <w:szCs w:val="20"/>
          <w:rtl w:val="0"/>
          <w:lang w:val="zh-TW" w:eastAsia="zh-TW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修習本系雙主修之同學，若其本系所修課程有與上列課程相同者（指課程名稱及學分數皆相同，且有實習課），得免修該門課，唯扣除與本系上列相同之重複課程後，仍需修足上列課程四十學分以上，始承認雙主修。若扣除與本系上列相同之重複課程後，所修課程不足四十學分，則應另修本系所開其他選修課程以補足四十學分，始承認雙主修。</w:t>
      </w:r>
    </w:p>
    <w:p>
      <w:pPr>
        <w:pStyle w:val="內文 A"/>
        <w:spacing w:line="20" w:lineRule="atLeast"/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本系雙主修必修科目規劃表業經本系（所）</w:t>
      </w:r>
      <w:r>
        <w:rPr>
          <w:rFonts w:ascii="標楷體" w:hAnsi="標楷體"/>
          <w:spacing w:val="-20"/>
          <w:sz w:val="20"/>
          <w:szCs w:val="20"/>
          <w:rtl w:val="0"/>
          <w:lang w:val="en-US"/>
        </w:rPr>
        <w:t xml:space="preserve">102 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年</w:t>
      </w:r>
      <w:r>
        <w:rPr>
          <w:rFonts w:ascii="標楷體" w:hAnsi="標楷體"/>
          <w:sz w:val="20"/>
          <w:szCs w:val="20"/>
          <w:rtl w:val="0"/>
          <w:lang w:val="en-US"/>
        </w:rPr>
        <w:t>11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月</w:t>
      </w:r>
      <w:r>
        <w:rPr>
          <w:rFonts w:ascii="標楷體" w:hAnsi="標楷體"/>
          <w:sz w:val="20"/>
          <w:szCs w:val="20"/>
          <w:rtl w:val="0"/>
          <w:lang w:val="en-US"/>
        </w:rPr>
        <w:t>13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日</w:t>
      </w:r>
      <w:r>
        <w:rPr>
          <w:rFonts w:eastAsia="標楷體" w:hint="eastAsia"/>
          <w:spacing w:val="-20"/>
          <w:sz w:val="20"/>
          <w:szCs w:val="20"/>
          <w:rtl w:val="0"/>
          <w:lang w:val="zh-TW" w:eastAsia="zh-TW"/>
        </w:rPr>
        <w:t>課程委員會討通過在案。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zh-TW" w:eastAsia="zh-TW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DFLiHei-B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註釋標題">
    <w:name w:val="註釋標題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區塊文字">
    <w:name w:val="區塊文字"/>
    <w:next w:val="區塊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113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